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5D38B976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407AF308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515CE8">
              <w:rPr>
                <w:rFonts w:hint="eastAsia"/>
                <w:w w:val="90"/>
                <w:sz w:val="22"/>
              </w:rPr>
              <w:t>6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E32F12">
              <w:rPr>
                <w:rFonts w:hint="eastAsia"/>
                <w:w w:val="90"/>
                <w:sz w:val="22"/>
              </w:rPr>
              <w:t>1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1CD17617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515CE8">
              <w:rPr>
                <w:rFonts w:hint="eastAsia"/>
                <w:w w:val="90"/>
                <w:sz w:val="22"/>
              </w:rPr>
              <w:t>6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E32F12">
              <w:rPr>
                <w:rFonts w:hint="eastAsia"/>
                <w:w w:val="90"/>
                <w:sz w:val="22"/>
              </w:rPr>
              <w:t>1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416EC0E6" w:rsidR="00973A97" w:rsidRPr="00B236CC" w:rsidRDefault="00F4517C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6660D6" w14:paraId="0312D83F" w14:textId="77777777" w:rsidTr="0083238F">
        <w:tc>
          <w:tcPr>
            <w:tcW w:w="2254" w:type="dxa"/>
            <w:vAlign w:val="center"/>
          </w:tcPr>
          <w:p w14:paraId="20DD3FE4" w14:textId="38D86472" w:rsidR="006660D6" w:rsidRDefault="006660D6" w:rsidP="006660D6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1032AC90" w14:textId="14D22742" w:rsidR="006660D6" w:rsidRDefault="006660D6" w:rsidP="006660D6">
            <w:pPr>
              <w:jc w:val="center"/>
              <w:rPr>
                <w:w w:val="90"/>
                <w:sz w:val="22"/>
              </w:rPr>
            </w:pPr>
            <w:r w:rsidRPr="00805375">
              <w:rPr>
                <w:rFonts w:hint="eastAsia"/>
                <w:sz w:val="22"/>
              </w:rPr>
              <w:t xml:space="preserve">유민상 </w:t>
            </w:r>
            <w:r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Pr="00805375">
              <w:rPr>
                <w:sz w:val="22"/>
              </w:rPr>
              <w:t>02-6959-8084/</w:t>
            </w:r>
            <w:r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00EB1B9C" w14:textId="77777777" w:rsidR="00C702E7" w:rsidRDefault="00515CE8" w:rsidP="00E32F1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DAXA, 공시 기능 확대</w:t>
            </w:r>
          </w:p>
          <w:p w14:paraId="35641249" w14:textId="1879EBD6" w:rsidR="00515CE8" w:rsidRPr="00E32F12" w:rsidRDefault="00515CE8" w:rsidP="00E32F1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법인 시장 참여 가이드라인 이행 본격화</w:t>
            </w:r>
          </w:p>
        </w:tc>
      </w:tr>
    </w:tbl>
    <w:p w14:paraId="1EF0C7A1" w14:textId="77777777" w:rsid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9145D23" w14:textId="4113EAB6" w:rsidR="0045386B" w:rsidRPr="00515CE8" w:rsidRDefault="0045386B" w:rsidP="0045386B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15CE8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• </w:t>
      </w:r>
      <w:r w:rsidR="00515CE8" w:rsidRPr="00515CE8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가상자산사업자</w:t>
      </w:r>
      <w:r w:rsidR="00515CE8" w:rsidRPr="00515CE8">
        <w:rPr>
          <w:rFonts w:ascii="Noto Sans KR" w:eastAsia="Noto Sans KR" w:hAnsi="Noto Sans KR" w:cs="Noto Sans KR" w:hint="eastAsia"/>
          <w:color w:val="000000"/>
          <w:kern w:val="0"/>
          <w:sz w:val="24"/>
          <w:szCs w:val="24"/>
        </w:rPr>
        <w:t>･</w:t>
      </w:r>
      <w:r w:rsidR="00515CE8" w:rsidRPr="00515CE8">
        <w:rPr>
          <w:rFonts w:asciiTheme="majorHAnsi" w:eastAsiaTheme="majorHAnsi" w:hAnsiTheme="majorHAnsi" w:cs="Noto Sans KR" w:hint="eastAsia"/>
          <w:color w:val="000000"/>
          <w:kern w:val="0"/>
          <w:sz w:val="24"/>
          <w:szCs w:val="24"/>
        </w:rPr>
        <w:t>비영리법인 가상자산 매도 가이드라인에 따른 추가 조치</w:t>
      </w:r>
      <w:r w:rsidR="00515CE8" w:rsidRPr="00515CE8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</w:p>
    <w:p w14:paraId="1D45EE4B" w14:textId="17D03530" w:rsidR="0045386B" w:rsidRPr="00515CE8" w:rsidRDefault="0045386B" w:rsidP="0045386B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15CE8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• </w:t>
      </w:r>
      <w:r w:rsidR="00515CE8" w:rsidRPr="00515CE8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시장 투명성 확대</w:t>
      </w:r>
      <w:r w:rsidR="00515CE8" w:rsidRPr="00515CE8">
        <w:rPr>
          <w:rFonts w:ascii="Noto Sans KR" w:eastAsia="Noto Sans KR" w:hAnsi="Noto Sans KR" w:cs="Noto Sans KR" w:hint="eastAsia"/>
          <w:color w:val="000000"/>
          <w:kern w:val="0"/>
          <w:sz w:val="24"/>
          <w:szCs w:val="24"/>
        </w:rPr>
        <w:t>･</w:t>
      </w:r>
      <w:r w:rsidR="00515CE8" w:rsidRPr="00515CE8">
        <w:rPr>
          <w:rFonts w:asciiTheme="majorHAnsi" w:eastAsiaTheme="majorHAnsi" w:hAnsiTheme="majorHAnsi" w:cs="Noto Sans KR" w:hint="eastAsia"/>
          <w:color w:val="000000"/>
          <w:kern w:val="0"/>
          <w:sz w:val="24"/>
          <w:szCs w:val="24"/>
        </w:rPr>
        <w:t>정보 비대칭 해소 등에 기여할 것으로 전망</w:t>
      </w:r>
    </w:p>
    <w:p w14:paraId="072BB0FC" w14:textId="32315EC8" w:rsidR="00515CE8" w:rsidRPr="00515CE8" w:rsidRDefault="00515CE8" w:rsidP="00515CE8">
      <w:pPr>
        <w:pStyle w:val="a3"/>
        <w:tabs>
          <w:tab w:val="left" w:pos="3072"/>
        </w:tabs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>
        <w:rPr>
          <w:rFonts w:ascii="맑은 고딕" w:eastAsia="맑은 고딕" w:hAnsi="맑은 고딕"/>
          <w:spacing w:val="-12"/>
          <w:sz w:val="24"/>
          <w:szCs w:val="24"/>
        </w:rPr>
        <w:tab/>
      </w:r>
    </w:p>
    <w:p w14:paraId="3A847607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515CE8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공동협의체(DAXA)는 공식 홈페이지에 ‘공시’ 메뉴를 새롭게 마련하고, 기존 공시 기능을 확대 운영한다고 1일 밝혔다.</w:t>
      </w:r>
    </w:p>
    <w:p w14:paraId="06B0CCED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10"/>
          <w:szCs w:val="10"/>
        </w:rPr>
      </w:pPr>
    </w:p>
    <w:p w14:paraId="47B26688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515CE8">
        <w:rPr>
          <w:rFonts w:ascii="맑은 고딕" w:eastAsia="맑은 고딕" w:hAnsi="맑은 고딕" w:hint="eastAsia"/>
          <w:spacing w:val="-12"/>
          <w:sz w:val="24"/>
          <w:szCs w:val="24"/>
        </w:rPr>
        <w:t>이번 조치는 금융위원회의 ‘법인 시장참여 로드맵 1단계’에 따라 시행되는 가상자산사업자 및 비영리법인의 가상자산 매도 가이드라인에 발맞춰, 가상자산 시장의 투명성과 신뢰성 제고를 위해 정보제공 기능을 강화한 것이다.</w:t>
      </w:r>
    </w:p>
    <w:p w14:paraId="22143F5B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10"/>
          <w:szCs w:val="10"/>
        </w:rPr>
      </w:pPr>
    </w:p>
    <w:p w14:paraId="7DCF58A0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515CE8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DAXA는 법인 참여 가이드라인에 따른 공시 사항을 체계적으로 제공하기 위해 공시 메뉴의 항목과 구조를 전면 개편했다. 이로써 이용자들은 기존의 회원사 거래지원 현황, 가상자산사업자별 예치금 이용료율 비교 정보뿐 아니라 ▲가상자산사업자의 가상자산 매도 계획 · 매도 결과 ▲국내 시가총액 상위 20위 이내 종목 현황 등의 정보를 투명하게 볼 수 있다. </w:t>
      </w:r>
    </w:p>
    <w:p w14:paraId="1687F8C6" w14:textId="77777777" w:rsidR="00515CE8" w:rsidRPr="00515CE8" w:rsidRDefault="00515CE8" w:rsidP="00515CE8">
      <w:pPr>
        <w:pStyle w:val="a3"/>
        <w:spacing w:line="240" w:lineRule="auto"/>
        <w:rPr>
          <w:rFonts w:ascii="맑은 고딕" w:eastAsia="맑은 고딕" w:hAnsi="맑은 고딕"/>
          <w:spacing w:val="-12"/>
          <w:sz w:val="10"/>
          <w:szCs w:val="10"/>
        </w:rPr>
      </w:pPr>
    </w:p>
    <w:p w14:paraId="0D233BD6" w14:textId="08684329" w:rsidR="0045386B" w:rsidRPr="00515CE8" w:rsidRDefault="00515CE8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515CE8">
        <w:rPr>
          <w:rFonts w:ascii="맑은 고딕" w:eastAsia="맑은 고딕" w:hAnsi="맑은 고딕" w:hint="eastAsia"/>
          <w:spacing w:val="-12"/>
          <w:sz w:val="24"/>
          <w:szCs w:val="24"/>
        </w:rPr>
        <w:t>DAXA 김재진 상임부회장은 “이번 공시 기능 개편은 법인 시장참여의 투명성을 높이고, 투자자들이 매도 요건과 관련 중요 정보에 보다 손쉽게 접근할 수 있도록 하기 위한 조치”라며, “앞으로도 가상자산 시장의 정보불균형을 해소해 나가고 시장 신뢰도를 제고하기 위한 노력을 계속하겠다”고 밝혔다. 끝.</w:t>
      </w:r>
    </w:p>
    <w:sectPr w:rsidR="0045386B" w:rsidRPr="00515C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C279" w14:textId="77777777" w:rsidR="00E43521" w:rsidRDefault="00E43521" w:rsidP="00CA06D4">
      <w:pPr>
        <w:spacing w:after="0" w:line="240" w:lineRule="auto"/>
      </w:pPr>
      <w:r>
        <w:separator/>
      </w:r>
    </w:p>
  </w:endnote>
  <w:endnote w:type="continuationSeparator" w:id="0">
    <w:p w14:paraId="64E6E9E5" w14:textId="77777777" w:rsidR="00E43521" w:rsidRDefault="00E43521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34C9" w14:textId="77777777" w:rsidR="00E43521" w:rsidRDefault="00E43521" w:rsidP="00CA06D4">
      <w:pPr>
        <w:spacing w:after="0" w:line="240" w:lineRule="auto"/>
      </w:pPr>
      <w:r>
        <w:separator/>
      </w:r>
    </w:p>
  </w:footnote>
  <w:footnote w:type="continuationSeparator" w:id="0">
    <w:p w14:paraId="05F2705B" w14:textId="77777777" w:rsidR="00E43521" w:rsidRDefault="00E43521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145C"/>
    <w:multiLevelType w:val="hybridMultilevel"/>
    <w:tmpl w:val="5BBA6274"/>
    <w:lvl w:ilvl="0" w:tplc="76F06E1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5855A3"/>
    <w:multiLevelType w:val="hybridMultilevel"/>
    <w:tmpl w:val="CE6C9AB4"/>
    <w:lvl w:ilvl="0" w:tplc="D9CC08D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5632AF"/>
    <w:multiLevelType w:val="multilevel"/>
    <w:tmpl w:val="2E62B29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6CC7"/>
    <w:multiLevelType w:val="hybridMultilevel"/>
    <w:tmpl w:val="A2146F62"/>
    <w:lvl w:ilvl="0" w:tplc="901032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4F2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C5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22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C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2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9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1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0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8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296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413760">
    <w:abstractNumId w:val="0"/>
  </w:num>
  <w:num w:numId="4" w16cid:durableId="125783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07B5F"/>
    <w:rsid w:val="00012E06"/>
    <w:rsid w:val="00046086"/>
    <w:rsid w:val="00072A05"/>
    <w:rsid w:val="000C6CE9"/>
    <w:rsid w:val="00113594"/>
    <w:rsid w:val="00136BD9"/>
    <w:rsid w:val="001515FF"/>
    <w:rsid w:val="00153AB3"/>
    <w:rsid w:val="00154DF7"/>
    <w:rsid w:val="00170B64"/>
    <w:rsid w:val="001A4280"/>
    <w:rsid w:val="001F502B"/>
    <w:rsid w:val="002218F9"/>
    <w:rsid w:val="0022470E"/>
    <w:rsid w:val="00284921"/>
    <w:rsid w:val="002A31FF"/>
    <w:rsid w:val="002F33CC"/>
    <w:rsid w:val="003037DC"/>
    <w:rsid w:val="0035004A"/>
    <w:rsid w:val="00354CEB"/>
    <w:rsid w:val="00364637"/>
    <w:rsid w:val="00390976"/>
    <w:rsid w:val="003B6213"/>
    <w:rsid w:val="003C23E4"/>
    <w:rsid w:val="003C5332"/>
    <w:rsid w:val="003E1A77"/>
    <w:rsid w:val="003E292F"/>
    <w:rsid w:val="00427B54"/>
    <w:rsid w:val="00446A75"/>
    <w:rsid w:val="0045386B"/>
    <w:rsid w:val="004815BE"/>
    <w:rsid w:val="0049025C"/>
    <w:rsid w:val="004C6C08"/>
    <w:rsid w:val="00505A76"/>
    <w:rsid w:val="00511D03"/>
    <w:rsid w:val="00515CE8"/>
    <w:rsid w:val="00566BE4"/>
    <w:rsid w:val="005A47D7"/>
    <w:rsid w:val="005B6AE0"/>
    <w:rsid w:val="00615CAA"/>
    <w:rsid w:val="00660FE0"/>
    <w:rsid w:val="006660D6"/>
    <w:rsid w:val="0067412A"/>
    <w:rsid w:val="006A28CF"/>
    <w:rsid w:val="006B3B42"/>
    <w:rsid w:val="006D5464"/>
    <w:rsid w:val="007374A5"/>
    <w:rsid w:val="00750242"/>
    <w:rsid w:val="00805375"/>
    <w:rsid w:val="008168E4"/>
    <w:rsid w:val="008268B7"/>
    <w:rsid w:val="008640B3"/>
    <w:rsid w:val="008A1A80"/>
    <w:rsid w:val="008A1B27"/>
    <w:rsid w:val="008C574E"/>
    <w:rsid w:val="008D49FA"/>
    <w:rsid w:val="008F010B"/>
    <w:rsid w:val="00911A2A"/>
    <w:rsid w:val="0092744E"/>
    <w:rsid w:val="00936823"/>
    <w:rsid w:val="0095022A"/>
    <w:rsid w:val="00973A97"/>
    <w:rsid w:val="009977B0"/>
    <w:rsid w:val="009A1505"/>
    <w:rsid w:val="009A457A"/>
    <w:rsid w:val="009D1BF1"/>
    <w:rsid w:val="009D6751"/>
    <w:rsid w:val="009F3EF6"/>
    <w:rsid w:val="009F779D"/>
    <w:rsid w:val="00A84903"/>
    <w:rsid w:val="00AA2FA3"/>
    <w:rsid w:val="00AB729F"/>
    <w:rsid w:val="00AC1589"/>
    <w:rsid w:val="00AC329F"/>
    <w:rsid w:val="00AE75AB"/>
    <w:rsid w:val="00B236CC"/>
    <w:rsid w:val="00B701E9"/>
    <w:rsid w:val="00B72DB5"/>
    <w:rsid w:val="00B807CE"/>
    <w:rsid w:val="00BC3A53"/>
    <w:rsid w:val="00BF5072"/>
    <w:rsid w:val="00C702E7"/>
    <w:rsid w:val="00C70CCE"/>
    <w:rsid w:val="00CA06D4"/>
    <w:rsid w:val="00CC1388"/>
    <w:rsid w:val="00CC2DD0"/>
    <w:rsid w:val="00CD2CDB"/>
    <w:rsid w:val="00CE4F77"/>
    <w:rsid w:val="00D4597F"/>
    <w:rsid w:val="00D6096B"/>
    <w:rsid w:val="00D90397"/>
    <w:rsid w:val="00DE1C6C"/>
    <w:rsid w:val="00DF06A8"/>
    <w:rsid w:val="00E32F12"/>
    <w:rsid w:val="00E33D6F"/>
    <w:rsid w:val="00E43521"/>
    <w:rsid w:val="00E55FBC"/>
    <w:rsid w:val="00E70FCE"/>
    <w:rsid w:val="00E82E0B"/>
    <w:rsid w:val="00ED0056"/>
    <w:rsid w:val="00EF5A05"/>
    <w:rsid w:val="00F309E2"/>
    <w:rsid w:val="00F325EB"/>
    <w:rsid w:val="00F4517C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60</cp:revision>
  <dcterms:created xsi:type="dcterms:W3CDTF">2023-01-11T04:20:00Z</dcterms:created>
  <dcterms:modified xsi:type="dcterms:W3CDTF">2025-06-01T06:02:00Z</dcterms:modified>
</cp:coreProperties>
</file>