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805375" w14:paraId="39306219" w14:textId="77777777" w:rsidTr="00805375">
        <w:trPr>
          <w:trHeight w:val="1408"/>
        </w:trPr>
        <w:tc>
          <w:tcPr>
            <w:tcW w:w="3114" w:type="dxa"/>
            <w:vAlign w:val="center"/>
          </w:tcPr>
          <w:p w14:paraId="5DED5C21" w14:textId="77777777" w:rsidR="00805375" w:rsidRDefault="00805375" w:rsidP="00805375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7B88C03C" wp14:editId="4843A6EC">
                  <wp:extent cx="1649557" cy="714375"/>
                  <wp:effectExtent l="0" t="0" r="8255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25131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65" cy="71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14:paraId="75F45366" w14:textId="77777777" w:rsidR="00805375" w:rsidRPr="00B236CC" w:rsidRDefault="00805375" w:rsidP="00805375">
            <w:pPr>
              <w:pStyle w:val="a3"/>
              <w:jc w:val="center"/>
              <w:rPr>
                <w:rFonts w:ascii="HY헤드라인M" w:eastAsia="HY헤드라인M"/>
                <w:color w:val="123E4A"/>
                <w:sz w:val="40"/>
                <w:szCs w:val="40"/>
              </w:rPr>
            </w:pPr>
            <w:r w:rsidRPr="00B236CC">
              <w:rPr>
                <w:rFonts w:ascii="HY헤드라인M" w:eastAsia="HY헤드라인M" w:hint="eastAsia"/>
                <w:color w:val="123E4A"/>
                <w:sz w:val="40"/>
                <w:szCs w:val="40"/>
              </w:rPr>
              <w:t>보도자료(Press Release)</w:t>
            </w:r>
          </w:p>
        </w:tc>
      </w:tr>
    </w:tbl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797"/>
        <w:gridCol w:w="1640"/>
        <w:gridCol w:w="1640"/>
        <w:gridCol w:w="1699"/>
      </w:tblGrid>
      <w:tr w:rsidR="00973A97" w:rsidRPr="00973A97" w14:paraId="39884750" w14:textId="77777777" w:rsidTr="00973A97">
        <w:trPr>
          <w:trHeight w:val="596"/>
          <w:jc w:val="center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01E3E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66677F94" wp14:editId="2B96346C">
                  <wp:extent cx="723265" cy="269240"/>
                  <wp:effectExtent l="0" t="0" r="635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8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9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04FD1A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3C65DD0A" wp14:editId="2ADD9F40">
                  <wp:extent cx="1009650" cy="390525"/>
                  <wp:effectExtent l="0" t="0" r="0" b="9525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E9A59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13333331" wp14:editId="2E3FA995">
                  <wp:extent cx="885825" cy="323850"/>
                  <wp:effectExtent l="0" t="0" r="9525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4223F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B59773E" wp14:editId="1240759F">
                  <wp:extent cx="742950" cy="238125"/>
                  <wp:effectExtent l="0" t="0" r="0" b="9525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9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42A388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4DECFE0C" wp14:editId="53C388E1">
                  <wp:extent cx="933450" cy="295275"/>
                  <wp:effectExtent l="0" t="0" r="0" b="952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05375" w14:paraId="6D823BF0" w14:textId="77777777" w:rsidTr="00805375">
        <w:tc>
          <w:tcPr>
            <w:tcW w:w="2254" w:type="dxa"/>
            <w:vAlign w:val="center"/>
          </w:tcPr>
          <w:p w14:paraId="3C2496AA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배포일시</w:t>
            </w:r>
          </w:p>
        </w:tc>
        <w:tc>
          <w:tcPr>
            <w:tcW w:w="2254" w:type="dxa"/>
            <w:vAlign w:val="center"/>
          </w:tcPr>
          <w:p w14:paraId="62B4BFFD" w14:textId="60959E93" w:rsidR="00805375" w:rsidRPr="00B236CC" w:rsidRDefault="00805375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w w:val="90"/>
                <w:sz w:val="22"/>
              </w:rPr>
              <w:t>2</w:t>
            </w:r>
            <w:r w:rsidR="008268B7">
              <w:rPr>
                <w:rFonts w:hint="eastAsia"/>
                <w:w w:val="90"/>
                <w:sz w:val="22"/>
              </w:rPr>
              <w:t>4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2F33CC">
              <w:rPr>
                <w:rFonts w:hint="eastAsia"/>
                <w:w w:val="90"/>
                <w:sz w:val="22"/>
              </w:rPr>
              <w:t>1</w:t>
            </w:r>
            <w:r w:rsidR="000617C7">
              <w:rPr>
                <w:rFonts w:hint="eastAsia"/>
                <w:w w:val="90"/>
                <w:sz w:val="22"/>
              </w:rPr>
              <w:t>1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0617C7">
              <w:rPr>
                <w:rFonts w:hint="eastAsia"/>
                <w:w w:val="90"/>
                <w:sz w:val="22"/>
              </w:rPr>
              <w:t>7</w:t>
            </w:r>
            <w:r w:rsidR="003E1A77">
              <w:rPr>
                <w:rFonts w:hint="eastAsia"/>
                <w:w w:val="90"/>
                <w:sz w:val="22"/>
              </w:rPr>
              <w:t>일</w:t>
            </w:r>
          </w:p>
        </w:tc>
        <w:tc>
          <w:tcPr>
            <w:tcW w:w="2254" w:type="dxa"/>
            <w:vAlign w:val="center"/>
          </w:tcPr>
          <w:p w14:paraId="4B362AA5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보도일시</w:t>
            </w:r>
          </w:p>
        </w:tc>
        <w:tc>
          <w:tcPr>
            <w:tcW w:w="2254" w:type="dxa"/>
            <w:vAlign w:val="center"/>
          </w:tcPr>
          <w:p w14:paraId="780EDEB2" w14:textId="484293EC" w:rsidR="00805375" w:rsidRPr="00B236CC" w:rsidRDefault="00B236CC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rFonts w:hint="eastAsia"/>
                <w:w w:val="90"/>
                <w:sz w:val="22"/>
              </w:rPr>
              <w:t>2</w:t>
            </w:r>
            <w:r w:rsidR="008268B7">
              <w:rPr>
                <w:rFonts w:hint="eastAsia"/>
                <w:w w:val="90"/>
                <w:sz w:val="22"/>
              </w:rPr>
              <w:t>4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2F33CC">
              <w:rPr>
                <w:rFonts w:hint="eastAsia"/>
                <w:w w:val="90"/>
                <w:sz w:val="22"/>
              </w:rPr>
              <w:t>1</w:t>
            </w:r>
            <w:r w:rsidR="000617C7">
              <w:rPr>
                <w:rFonts w:hint="eastAsia"/>
                <w:w w:val="90"/>
                <w:sz w:val="22"/>
              </w:rPr>
              <w:t>1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0617C7">
              <w:rPr>
                <w:rFonts w:hint="eastAsia"/>
                <w:w w:val="90"/>
                <w:sz w:val="22"/>
              </w:rPr>
              <w:t>7</w:t>
            </w:r>
            <w:r w:rsidRPr="00B236CC">
              <w:rPr>
                <w:rFonts w:hint="eastAsia"/>
                <w:w w:val="90"/>
                <w:sz w:val="22"/>
              </w:rPr>
              <w:t>일(즉시)</w:t>
            </w:r>
          </w:p>
        </w:tc>
      </w:tr>
      <w:tr w:rsidR="00973A97" w14:paraId="2472E2CE" w14:textId="77777777" w:rsidTr="00805375">
        <w:tc>
          <w:tcPr>
            <w:tcW w:w="2254" w:type="dxa"/>
            <w:vAlign w:val="center"/>
          </w:tcPr>
          <w:p w14:paraId="384247F8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사진</w:t>
            </w:r>
          </w:p>
        </w:tc>
        <w:tc>
          <w:tcPr>
            <w:tcW w:w="2254" w:type="dxa"/>
            <w:vAlign w:val="center"/>
          </w:tcPr>
          <w:p w14:paraId="61CFD094" w14:textId="0A2C0E89" w:rsidR="00973A97" w:rsidRPr="00B236CC" w:rsidRDefault="00973A97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 xml:space="preserve">유 </w:t>
            </w:r>
            <w:r w:rsidR="00CA06D4">
              <w:rPr>
                <w:rFonts w:asciiTheme="minorEastAsia" w:hAnsiTheme="minorEastAsia" w:hint="eastAsia"/>
                <w:w w:val="90"/>
                <w:sz w:val="22"/>
              </w:rPr>
              <w:t>■</w:t>
            </w:r>
            <w:r>
              <w:rPr>
                <w:w w:val="90"/>
                <w:sz w:val="22"/>
              </w:rPr>
              <w:t xml:space="preserve"> </w:t>
            </w:r>
            <w:r>
              <w:rPr>
                <w:rFonts w:hint="eastAsia"/>
                <w:w w:val="90"/>
                <w:sz w:val="22"/>
              </w:rPr>
              <w:t xml:space="preserve">무 </w:t>
            </w:r>
            <w:r w:rsidR="00CA06D4">
              <w:rPr>
                <w:rFonts w:eastAsiaTheme="minorHAnsi"/>
                <w:w w:val="90"/>
                <w:sz w:val="22"/>
              </w:rPr>
              <w:t>□</w:t>
            </w:r>
          </w:p>
        </w:tc>
        <w:tc>
          <w:tcPr>
            <w:tcW w:w="2254" w:type="dxa"/>
            <w:vAlign w:val="center"/>
          </w:tcPr>
          <w:p w14:paraId="7C81B5A6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쪽수</w:t>
            </w:r>
          </w:p>
        </w:tc>
        <w:tc>
          <w:tcPr>
            <w:tcW w:w="2254" w:type="dxa"/>
            <w:vAlign w:val="center"/>
          </w:tcPr>
          <w:p w14:paraId="17229320" w14:textId="1E959B58" w:rsidR="00973A97" w:rsidRPr="00B236CC" w:rsidRDefault="000617C7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6</w:t>
            </w:r>
            <w:r w:rsidR="00973A97">
              <w:rPr>
                <w:rFonts w:hint="eastAsia"/>
                <w:w w:val="90"/>
                <w:sz w:val="22"/>
              </w:rPr>
              <w:t>쪽(본문</w:t>
            </w:r>
            <w:r w:rsidR="009D1BF1">
              <w:rPr>
                <w:rFonts w:hint="eastAsia"/>
                <w:w w:val="90"/>
                <w:sz w:val="22"/>
              </w:rPr>
              <w:t>2</w:t>
            </w:r>
            <w:r>
              <w:rPr>
                <w:rFonts w:hint="eastAsia"/>
                <w:w w:val="90"/>
                <w:sz w:val="22"/>
              </w:rPr>
              <w:t>, 별첨4</w:t>
            </w:r>
            <w:r w:rsidR="00973A97">
              <w:rPr>
                <w:w w:val="90"/>
                <w:sz w:val="22"/>
              </w:rPr>
              <w:t>)</w:t>
            </w:r>
          </w:p>
        </w:tc>
      </w:tr>
    </w:tbl>
    <w:p w14:paraId="39519BB1" w14:textId="77777777" w:rsidR="0049025C" w:rsidRPr="009D1BF1" w:rsidRDefault="0049025C" w:rsidP="008268B7">
      <w:pPr>
        <w:spacing w:line="240" w:lineRule="auto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36CC" w14:paraId="5B1E575B" w14:textId="77777777" w:rsidTr="008268B7">
        <w:trPr>
          <w:trHeight w:val="870"/>
        </w:trPr>
        <w:tc>
          <w:tcPr>
            <w:tcW w:w="9016" w:type="dxa"/>
            <w:tcBorders>
              <w:bottom w:val="thinThickSmallGap" w:sz="24" w:space="0" w:color="auto"/>
            </w:tcBorders>
            <w:vAlign w:val="center"/>
          </w:tcPr>
          <w:p w14:paraId="35641249" w14:textId="55F971D9" w:rsidR="00012E06" w:rsidRPr="009D1BF1" w:rsidRDefault="00B701E9" w:rsidP="002F33CC">
            <w:pPr>
              <w:pStyle w:val="a3"/>
              <w:wordWrap/>
              <w:spacing w:line="240" w:lineRule="auto"/>
              <w:jc w:val="center"/>
            </w:pPr>
            <w:r w:rsidRPr="00B701E9"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 xml:space="preserve">DAXA, </w:t>
            </w:r>
            <w:r w:rsidR="000617C7"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>이용자예치금 이용료율 산정 모범규준 마련</w:t>
            </w:r>
          </w:p>
        </w:tc>
      </w:tr>
    </w:tbl>
    <w:p w14:paraId="360A19EC" w14:textId="77777777" w:rsidR="00B236CC" w:rsidRDefault="00B236CC" w:rsidP="000617C7">
      <w:pPr>
        <w:spacing w:line="240" w:lineRule="auto"/>
        <w:rPr>
          <w:sz w:val="10"/>
          <w:szCs w:val="12"/>
        </w:rPr>
      </w:pPr>
    </w:p>
    <w:p w14:paraId="1728773E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디지털자산거래소 공동협의체(DAXA)는 「가상자산사업자의 이용자예치금 이용료율 산정 모범규준(이하 ‘모범규준’)」을 마련해 7일 공개했다고 밝혔다. 모범규준은 크게 ▲이용자예치금 이용료율 산정 및 지급기준 ▲이용료율의 주기적 재산정 방식 ▲내부 심사위원회의 심사 및 내부 지급기준 마련 등의 내용으로 구성돼 있다.</w:t>
      </w:r>
    </w:p>
    <w:p w14:paraId="0673545A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1177B779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이번 모범규준은 「가상자산업감독규정」 제5조에 따라 가상자산사업자(VASP)가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제정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및 운영해야 하는 이용자예치금 산정기준과 지급 절차 등을 합리적으로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마련할 수 있도록 감독당국 지원 아래 DAXA 중심으로 마련됐다. DAXA 회원사는 이번 모범규준을 바탕으로 자체 내규를 마련하고, 오는 18일부터 시행할 방침이다.</w:t>
      </w:r>
    </w:p>
    <w:p w14:paraId="38C647F7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29C3B29D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모범규준은 예치금 이용료율 산정시 운용수익과 직간접 비용을 감안하여 합리적으로 산정하도록 하고 이용자별 차등을 두지 않도록 했다. 또한 예상치 못한 운용수익의 변동 등 예외적인 경우를 제외하고는 이용자예치금 운용수익이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아닌 여타 재원으로 이용료를 지급하지 않도록 했다.</w:t>
      </w:r>
    </w:p>
    <w:p w14:paraId="53A7E961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6BB11EDA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한편 이용료의 적정성을 점검하여 주기적(분기 1회 이상)으로 예치금 이용료율을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재산정하도록 하였으며, 사전에 내부 심사위원회 심사와 준법감시인 확인을 거치도록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했다. 또한 재산정된 이용료율은 최소 7영업일 전에 홈페이지에 공지 및 개별 이용자에게 안내할 예정이며, DAXA는 공식 홈페이지를 통해 회원사의 예치금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이용료율에 대한 비교 공시 서비스도 제공할 예정이다. </w:t>
      </w:r>
    </w:p>
    <w:p w14:paraId="04F991A0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7554677C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lastRenderedPageBreak/>
        <w:t>DAXA 김재진 상임부회장은 “예치금 운용수익을 이용자께 지급할 수 있는 법적 근거가 마련됨에 따라, DAXA 회원사들은 합리적인 산정기준과 절차를 함께 논의해 왔다”며, “이번 모범규준과 요율공시가 국내 이용자와 사업자 모두에게 좋은 지표로 기능하기를 희망한다”고 밝혔다. 끝.</w:t>
      </w:r>
    </w:p>
    <w:p w14:paraId="4A21938D" w14:textId="1DC8295C" w:rsidR="000617C7" w:rsidRDefault="000617C7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spacing w:val="-12"/>
          <w:kern w:val="0"/>
          <w:sz w:val="24"/>
          <w:szCs w:val="24"/>
        </w:rPr>
      </w:pPr>
      <w:r>
        <w:rPr>
          <w:rFonts w:ascii="맑은 고딕" w:eastAsia="맑은 고딕" w:hAnsi="맑은 고딕"/>
          <w:spacing w:val="-12"/>
          <w:sz w:val="24"/>
          <w:szCs w:val="24"/>
        </w:rP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258"/>
        <w:gridCol w:w="7587"/>
      </w:tblGrid>
      <w:tr w:rsidR="000617C7" w:rsidRPr="000617C7" w14:paraId="3C5A6B06" w14:textId="77777777" w:rsidTr="000617C7">
        <w:trPr>
          <w:trHeight w:val="596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D5F621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HY헤드라인M" w:eastAsia="HY헤드라인M" w:hAnsi="맑은 고딕"/>
                <w:spacing w:val="-12"/>
                <w:sz w:val="30"/>
                <w:szCs w:val="30"/>
              </w:rPr>
            </w:pPr>
            <w:r w:rsidRPr="000617C7">
              <w:rPr>
                <w:rFonts w:ascii="HY헤드라인M" w:eastAsia="HY헤드라인M" w:hAnsi="맑은 고딕" w:hint="eastAsia"/>
                <w:spacing w:val="-12"/>
                <w:sz w:val="30"/>
                <w:szCs w:val="30"/>
              </w:rPr>
              <w:lastRenderedPageBreak/>
              <w:t>별첨#1</w:t>
            </w:r>
          </w:p>
        </w:tc>
        <w:tc>
          <w:tcPr>
            <w:tcW w:w="2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50434D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HY헤드라인M" w:eastAsia="HY헤드라인M" w:hAnsi="맑은 고딕"/>
                <w:spacing w:val="-12"/>
                <w:sz w:val="30"/>
                <w:szCs w:val="30"/>
              </w:rPr>
            </w:pPr>
          </w:p>
        </w:tc>
        <w:tc>
          <w:tcPr>
            <w:tcW w:w="8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2CFCA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HY헤드라인M" w:eastAsia="HY헤드라인M" w:hAnsi="맑은 고딕"/>
                <w:spacing w:val="-12"/>
                <w:sz w:val="30"/>
                <w:szCs w:val="30"/>
              </w:rPr>
            </w:pPr>
            <w:r w:rsidRPr="000617C7">
              <w:rPr>
                <w:rFonts w:ascii="HY헤드라인M" w:eastAsia="HY헤드라인M" w:hAnsi="맑은 고딕" w:hint="eastAsia"/>
                <w:spacing w:val="-12"/>
                <w:sz w:val="30"/>
                <w:szCs w:val="30"/>
              </w:rPr>
              <w:t>가상자산사업자의 이용자예치금 이용료율 산정 모범규준</w:t>
            </w:r>
          </w:p>
        </w:tc>
      </w:tr>
    </w:tbl>
    <w:p w14:paraId="73C89B92" w14:textId="77777777" w:rsidR="000617C7" w:rsidRPr="000617C7" w:rsidRDefault="000617C7" w:rsidP="000617C7">
      <w:pPr>
        <w:pStyle w:val="a3"/>
        <w:spacing w:line="240" w:lineRule="auto"/>
        <w:jc w:val="right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 xml:space="preserve">제정 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 xml:space="preserve">2024.11.7. </w:t>
      </w:r>
    </w:p>
    <w:p w14:paraId="72051A6F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b/>
          <w:bCs/>
          <w:spacing w:val="-12"/>
          <w:sz w:val="24"/>
          <w:szCs w:val="24"/>
        </w:rPr>
      </w:pPr>
    </w:p>
    <w:p w14:paraId="48D411D4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제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1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장 총 칙</w:t>
      </w:r>
    </w:p>
    <w:p w14:paraId="0ABCD573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095551AE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제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1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조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(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목적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)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이 규준은 「가상자산 이용자 보호 등에 관한 법률」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(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이하 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“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가상자산이용자보호법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”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이라 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)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제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2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조 제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2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호에 따른 가상자산사업자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(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이하 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“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사업자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”)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가 가상자산이용자보호법 제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6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조에 따라 이용자예치금 이용료를 이용자에게 지급함에 있어 이용료율을 합리적으로 산정하는데 필요한 사항을 정함을 목적으로 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.</w:t>
      </w:r>
    </w:p>
    <w:p w14:paraId="292B3CD4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7AC968D4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제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2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조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(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적용범위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)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이 규준은 디지털자산거래소 공동협의체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(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이하 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“DAXA”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라 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)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의 회원사가 금융위원회의 「가상자산업감독규정」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(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이하 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“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감독규정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”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이라 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)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제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5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조에 따라 사업자가 제정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·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운영하여야 하는 이용자예치금 이용료 산정기준 및 지급절차에 관한 내부기준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(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이하 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“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내부 지급기준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”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이라 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)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에서 이용료율을 산정하고 이용료를 지급하는 경우에 적용된다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.</w:t>
      </w:r>
    </w:p>
    <w:p w14:paraId="1BC788BA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50D4F6D9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제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3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조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(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정의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)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이 규준에서 사용하는 용어의 정의는 다음 각 호에서 정한 경우를 제외하고는 가상자산이용자보호법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,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가상자산이용자보호법 시행령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,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가상자산업감독규정 및 시행세칙에서 정하는 바에 따른다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.</w:t>
      </w:r>
    </w:p>
    <w:p w14:paraId="150ED447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/>
          <w:spacing w:val="-12"/>
          <w:sz w:val="24"/>
          <w:szCs w:val="24"/>
        </w:rPr>
        <w:t>1. “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이용자예치금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”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이란 사업자가 이용자로부터 가상자산의 매매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,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매매의 중개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,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그 밖의 영업행위와 관련하여 예치받은 금전을 말한다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.</w:t>
      </w:r>
    </w:p>
    <w:p w14:paraId="74F25B6A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/>
          <w:spacing w:val="-12"/>
          <w:sz w:val="24"/>
          <w:szCs w:val="24"/>
        </w:rPr>
        <w:t>2. “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이용료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”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란 사업자가 이용자에게 지급하는 이용자예치금의 이용 대가를 말한다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.</w:t>
      </w:r>
    </w:p>
    <w:p w14:paraId="10A9F77C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/>
          <w:spacing w:val="-12"/>
          <w:sz w:val="24"/>
          <w:szCs w:val="24"/>
        </w:rPr>
        <w:t>3. “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직접비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”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란 관리기관 수수료 등 이용자예치금과 직접적으로 관련된 비용을 말한다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.</w:t>
      </w:r>
    </w:p>
    <w:p w14:paraId="6387FAD4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/>
          <w:spacing w:val="-12"/>
          <w:sz w:val="24"/>
          <w:szCs w:val="24"/>
        </w:rPr>
        <w:t>4. “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간접비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”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란 감독분담금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,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전산비 등 이용자예치금 외의 업무에서 공통적으로 발생하는 비용을 말한다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.</w:t>
      </w:r>
    </w:p>
    <w:p w14:paraId="72AE8C5A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2D4B43C5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3B73A5C6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제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2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장 이용자예치금 이용료율의 산정 및 지급</w:t>
      </w:r>
    </w:p>
    <w:p w14:paraId="5EAB6229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6FE1B8CD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제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4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조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(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이용자예치금 이용료율 산정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)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①사업자는 이용자예치금으로부터 발생하는 운용수익과 이용자예치금과 관련하여 발생하는 직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·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간접 비용을 감안하여 합리적인 기준에 따라 이용자예치금 이용료율을 산정한다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.</w:t>
      </w:r>
    </w:p>
    <w:p w14:paraId="417B7E9E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lastRenderedPageBreak/>
        <w:t>②사업자는 합리적인 사유 없이 이용자별로 적용되는 이용료율에 차등을 두어서는 아니 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.</w:t>
      </w:r>
    </w:p>
    <w:p w14:paraId="39B54DD6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③사업자는 이용자예치금 이용료율 산정 시 직접비 및 간접비를 구분하여 정한 후 종합하여 결정한다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.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이 때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,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예치금 외의 업무에서 공통적으로 발생하는 비용은 직접비로 분류되지 않도록 하여야 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.</w:t>
      </w:r>
    </w:p>
    <w:p w14:paraId="7B77EDCB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④사업자는 이용자예치금을 통한 운용수익이 아닌 재원을 이용자예치금 이용료 명목으로 지급하여서는 아니 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.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다만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,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사업자가 관리기관에 예치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·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신탁한 이용자예치금 운용수익이 변동되어 이용자에게 안내한 이용료율에 따라 지급하여야 하는 금액에 미달하는 등의 예외적인 경우 그 부족액에 한하여 사업자 고유재산으로 지급할 수 있다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.</w:t>
      </w:r>
    </w:p>
    <w:p w14:paraId="42EA89E5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2"/>
      </w:tblGrid>
      <w:tr w:rsidR="000617C7" w:rsidRPr="000617C7" w14:paraId="62958352" w14:textId="77777777" w:rsidTr="000617C7">
        <w:trPr>
          <w:trHeight w:val="506"/>
          <w:jc w:val="right"/>
        </w:trPr>
        <w:tc>
          <w:tcPr>
            <w:tcW w:w="87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B8E77D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  <w:t>&lt;</w:t>
            </w:r>
            <w:r w:rsidRPr="000617C7">
              <w:rPr>
                <w:rFonts w:ascii="맑은 고딕" w:eastAsia="맑은 고딕" w:hAnsi="맑은 고딕" w:hint="eastAsia"/>
                <w:b/>
                <w:bCs/>
                <w:spacing w:val="-12"/>
                <w:sz w:val="24"/>
                <w:szCs w:val="24"/>
              </w:rPr>
              <w:t>이용료 관련 직</w:t>
            </w:r>
            <w:r w:rsidRPr="000617C7">
              <w:rPr>
                <w:rFonts w:ascii="MS Gothic" w:eastAsia="MS Gothic" w:hAnsi="MS Gothic" w:cs="MS Gothic" w:hint="eastAsia"/>
                <w:b/>
                <w:bCs/>
                <w:spacing w:val="-12"/>
                <w:sz w:val="24"/>
                <w:szCs w:val="24"/>
              </w:rPr>
              <w:t>‧</w:t>
            </w:r>
            <w:r w:rsidRPr="000617C7">
              <w:rPr>
                <w:rFonts w:ascii="맑은 고딕" w:eastAsia="맑은 고딕" w:hAnsi="맑은 고딕" w:cs="맑은 고딕" w:hint="eastAsia"/>
                <w:b/>
                <w:bCs/>
                <w:spacing w:val="-12"/>
                <w:sz w:val="24"/>
                <w:szCs w:val="24"/>
              </w:rPr>
              <w:t>간접비</w:t>
            </w:r>
            <w:r w:rsidRPr="000617C7">
              <w:rPr>
                <w:rFonts w:ascii="맑은 고딕" w:eastAsia="맑은 고딕" w:hAnsi="맑은 고딕" w:hint="eastAsia"/>
                <w:b/>
                <w:bCs/>
                <w:spacing w:val="-12"/>
                <w:sz w:val="24"/>
                <w:szCs w:val="24"/>
              </w:rPr>
              <w:t xml:space="preserve"> 구분 및 배분절차</w:t>
            </w:r>
            <w:r w:rsidRPr="000617C7"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  <w:t>(</w:t>
            </w:r>
            <w:r w:rsidRPr="000617C7">
              <w:rPr>
                <w:rFonts w:ascii="맑은 고딕" w:eastAsia="맑은 고딕" w:hAnsi="맑은 고딕" w:hint="eastAsia"/>
                <w:b/>
                <w:bCs/>
                <w:spacing w:val="-12"/>
                <w:sz w:val="24"/>
                <w:szCs w:val="24"/>
              </w:rPr>
              <w:t>예시</w:t>
            </w:r>
            <w:r w:rsidRPr="000617C7"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  <w:t>)&gt;</w:t>
            </w:r>
          </w:p>
        </w:tc>
      </w:tr>
      <w:tr w:rsidR="000617C7" w:rsidRPr="000617C7" w14:paraId="1C3354E8" w14:textId="77777777" w:rsidTr="000617C7">
        <w:trPr>
          <w:trHeight w:val="2186"/>
          <w:jc w:val="right"/>
        </w:trPr>
        <w:tc>
          <w:tcPr>
            <w:tcW w:w="8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DBC39F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MS Gothic" w:eastAsia="MS Gothic" w:hAnsi="MS Gothic" w:cs="MS Gothic" w:hint="eastAsia"/>
                <w:b/>
                <w:bCs/>
                <w:spacing w:val="-12"/>
                <w:sz w:val="24"/>
                <w:szCs w:val="24"/>
              </w:rPr>
              <w:t>❏</w:t>
            </w:r>
            <w:r w:rsidRPr="000617C7"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  <w:t>(1</w:t>
            </w:r>
            <w:r w:rsidRPr="000617C7">
              <w:rPr>
                <w:rFonts w:ascii="맑은 고딕" w:eastAsia="맑은 고딕" w:hAnsi="맑은 고딕" w:hint="eastAsia"/>
                <w:b/>
                <w:bCs/>
                <w:spacing w:val="-12"/>
                <w:sz w:val="24"/>
                <w:szCs w:val="24"/>
              </w:rPr>
              <w:t>단계</w:t>
            </w:r>
            <w:r w:rsidRPr="000617C7"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  <w:t xml:space="preserve">) </w:t>
            </w: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사업자의 총 비용을 항목별 세부비용으로 구분</w:t>
            </w:r>
          </w:p>
          <w:p w14:paraId="35EC74A4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MS Gothic" w:eastAsia="MS Gothic" w:hAnsi="MS Gothic" w:cs="MS Gothic" w:hint="eastAsia"/>
                <w:b/>
                <w:bCs/>
                <w:spacing w:val="-12"/>
                <w:sz w:val="24"/>
                <w:szCs w:val="24"/>
              </w:rPr>
              <w:t>❏</w:t>
            </w:r>
            <w:r w:rsidRPr="000617C7"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  <w:t>(2</w:t>
            </w:r>
            <w:r w:rsidRPr="000617C7">
              <w:rPr>
                <w:rFonts w:ascii="맑은 고딕" w:eastAsia="맑은 고딕" w:hAnsi="맑은 고딕" w:hint="eastAsia"/>
                <w:b/>
                <w:bCs/>
                <w:spacing w:val="-12"/>
                <w:sz w:val="24"/>
                <w:szCs w:val="24"/>
              </w:rPr>
              <w:t>단계</w:t>
            </w:r>
            <w:r w:rsidRPr="000617C7"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  <w:t xml:space="preserve">) </w:t>
            </w: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각 비용별로 이용자예치금과의 연관여부를 확인</w:t>
            </w:r>
          </w:p>
          <w:p w14:paraId="4B43952A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MS Gothic" w:eastAsia="MS Gothic" w:hAnsi="MS Gothic" w:cs="MS Gothic" w:hint="eastAsia"/>
                <w:b/>
                <w:bCs/>
                <w:spacing w:val="-12"/>
                <w:sz w:val="24"/>
                <w:szCs w:val="24"/>
              </w:rPr>
              <w:t>❏</w:t>
            </w:r>
            <w:r w:rsidRPr="000617C7"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  <w:t>(3</w:t>
            </w:r>
            <w:r w:rsidRPr="000617C7">
              <w:rPr>
                <w:rFonts w:ascii="맑은 고딕" w:eastAsia="맑은 고딕" w:hAnsi="맑은 고딕" w:hint="eastAsia"/>
                <w:b/>
                <w:bCs/>
                <w:spacing w:val="-12"/>
                <w:sz w:val="24"/>
                <w:szCs w:val="24"/>
              </w:rPr>
              <w:t>단계</w:t>
            </w:r>
            <w:r w:rsidRPr="000617C7"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  <w:t xml:space="preserve">) </w:t>
            </w: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각 비용별로 이용자예치금과의 연관정도를 직</w:t>
            </w:r>
            <w:r w:rsidRPr="000617C7">
              <w:rPr>
                <w:rFonts w:ascii="MS Gothic" w:eastAsia="MS Gothic" w:hAnsi="MS Gothic" w:cs="MS Gothic" w:hint="eastAsia"/>
                <w:spacing w:val="-12"/>
                <w:sz w:val="24"/>
                <w:szCs w:val="24"/>
              </w:rPr>
              <w:t>‧</w:t>
            </w:r>
            <w:r w:rsidRPr="000617C7">
              <w:rPr>
                <w:rFonts w:ascii="맑은 고딕" w:eastAsia="맑은 고딕" w:hAnsi="맑은 고딕" w:cs="맑은 고딕" w:hint="eastAsia"/>
                <w:spacing w:val="-12"/>
                <w:sz w:val="24"/>
                <w:szCs w:val="24"/>
              </w:rPr>
              <w:t>간접비로</w:t>
            </w: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 xml:space="preserve"> 분류</w:t>
            </w:r>
          </w:p>
          <w:p w14:paraId="7ABE4113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MS Gothic" w:eastAsia="MS Gothic" w:hAnsi="MS Gothic" w:cs="MS Gothic" w:hint="eastAsia"/>
                <w:b/>
                <w:bCs/>
                <w:spacing w:val="-12"/>
                <w:sz w:val="24"/>
                <w:szCs w:val="24"/>
              </w:rPr>
              <w:t>❏</w:t>
            </w:r>
            <w:r w:rsidRPr="000617C7"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  <w:t>(4</w:t>
            </w:r>
            <w:r w:rsidRPr="000617C7">
              <w:rPr>
                <w:rFonts w:ascii="맑은 고딕" w:eastAsia="맑은 고딕" w:hAnsi="맑은 고딕" w:hint="eastAsia"/>
                <w:b/>
                <w:bCs/>
                <w:spacing w:val="-12"/>
                <w:sz w:val="24"/>
                <w:szCs w:val="24"/>
              </w:rPr>
              <w:t>단계</w:t>
            </w:r>
            <w:r w:rsidRPr="000617C7"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  <w:t xml:space="preserve">) </w:t>
            </w: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직접비는 이용자예치금 이용료 비용에 전액배분</w:t>
            </w:r>
          </w:p>
          <w:p w14:paraId="6FD3676B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MS Gothic" w:eastAsia="MS Gothic" w:hAnsi="MS Gothic" w:cs="MS Gothic" w:hint="eastAsia"/>
                <w:b/>
                <w:bCs/>
                <w:spacing w:val="-12"/>
                <w:sz w:val="24"/>
                <w:szCs w:val="24"/>
              </w:rPr>
              <w:t>❏</w:t>
            </w:r>
            <w:r w:rsidRPr="000617C7"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  <w:t>(5</w:t>
            </w:r>
            <w:r w:rsidRPr="000617C7">
              <w:rPr>
                <w:rFonts w:ascii="맑은 고딕" w:eastAsia="맑은 고딕" w:hAnsi="맑은 고딕" w:hint="eastAsia"/>
                <w:b/>
                <w:bCs/>
                <w:spacing w:val="-12"/>
                <w:sz w:val="24"/>
                <w:szCs w:val="24"/>
              </w:rPr>
              <w:t>단계</w:t>
            </w:r>
            <w:r w:rsidRPr="000617C7"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  <w:t xml:space="preserve">) </w:t>
            </w: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간접비는 합리적인 배분기준에 따라 안분하여 배분</w:t>
            </w:r>
          </w:p>
        </w:tc>
      </w:tr>
    </w:tbl>
    <w:p w14:paraId="784D0472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3DB08426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37CA6DA9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제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5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조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(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이용자예치금 이용료의 지급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 xml:space="preserve">)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사업자는 합리적인 사유 없이 이용자에게 이용료 지급을 보류하거나 제한해서는 아니 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.</w:t>
      </w:r>
    </w:p>
    <w:p w14:paraId="6BDDCDA6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372750AB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7A4E713B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2E5ADEB8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제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3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장 이용자예치금 이용료율의 내부통제절차</w:t>
      </w:r>
    </w:p>
    <w:p w14:paraId="6F1EFD1A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12E0BA7F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제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6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조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(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주기적 재산정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 xml:space="preserve">)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사업자는 시장금리 변동 또는 관리기관에서의 운용수익 등을 감안하여 이용자예치금 이용료율의 적정성을 분기 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1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회 이상 점검하고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,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그 결과를 반영하여 이용료율을 재산정한다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.</w:t>
      </w:r>
    </w:p>
    <w:p w14:paraId="525F4AEA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b/>
          <w:bCs/>
          <w:spacing w:val="-12"/>
          <w:sz w:val="24"/>
          <w:szCs w:val="24"/>
        </w:rPr>
      </w:pPr>
    </w:p>
    <w:p w14:paraId="2CC9D65D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제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7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조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(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내부 심사위원회의 심사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)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①사업자가 제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6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조에 따라 이용자예치금 이용료율을 재산정하는 경우 대표이사의 결재를 득하거나 대표이사에게 보고하여야 하며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,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사전에 동 산정내역의 적정성 및 이용료율 변경 필요성 등을 점검하는 내부 심사위원회의 심사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lastRenderedPageBreak/>
        <w:t>및 준법감시인의 확인을 거쳐야 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. </w:t>
      </w:r>
    </w:p>
    <w:p w14:paraId="56318214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②사업자는 제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1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항에 따른 심사자료 및 심사결과를 기록ㆍ유지해야 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.</w:t>
      </w:r>
    </w:p>
    <w:p w14:paraId="4458205E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b/>
          <w:bCs/>
          <w:spacing w:val="-12"/>
          <w:sz w:val="24"/>
          <w:szCs w:val="24"/>
        </w:rPr>
      </w:pPr>
    </w:p>
    <w:p w14:paraId="03DE8D98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제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8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조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(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내부 지급기준 마련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)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①사업자는 이용자예치금 이용료율 산정기준 및 지급절차와 관련된 내부 지급기준을 마련하여야 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.</w:t>
      </w:r>
    </w:p>
    <w:p w14:paraId="0BEAB2B9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②제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1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항에 따른 내부 지급기준에는 이용자예치금 이용료율 산정 및 운영과 관련한 업무분장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,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조직구조에 관한 사항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,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이용료율 산정기준 및 내부 심사위원회 구성에 관한 사항 등이 포함되어야 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.</w:t>
      </w:r>
    </w:p>
    <w:p w14:paraId="45D72704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6A00AD0D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제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9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조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>(</w:t>
      </w: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이용자예치금 이용료율등 안내</w:t>
      </w:r>
      <w:r w:rsidRPr="000617C7">
        <w:rPr>
          <w:rFonts w:ascii="맑은 고딕" w:eastAsia="맑은 고딕" w:hAnsi="맑은 고딕"/>
          <w:b/>
          <w:bCs/>
          <w:spacing w:val="-12"/>
          <w:sz w:val="24"/>
          <w:szCs w:val="24"/>
        </w:rPr>
        <w:t xml:space="preserve">)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①사업자는 이용자예치금 이용료율등이 변경되는 경우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,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최소 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7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영업일 전까지 홈페이지를 통하여 이를 공지하고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,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서면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,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전자우편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,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팩스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,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전화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,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문자전송 또는 이에 상당하는 방법으로 개별 이용자에게 이를 안내하여야 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.</w:t>
      </w:r>
    </w:p>
    <w:p w14:paraId="36FBBB71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②사업자는 이용자예치금 이용료율 재산정 결과가 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DAXA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홈페이지를 통하여 공시될 수 있도록 이용자 예치금이용료율 현황을 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DAXA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에 통지하여야 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.</w:t>
      </w:r>
    </w:p>
    <w:p w14:paraId="7252B138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6965A302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7B2B72B1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4CDBF0E1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부 칙</w:t>
      </w:r>
    </w:p>
    <w:p w14:paraId="2CB4B5E4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2BB2B09D" w14:textId="11079850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제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1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조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(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시행일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 xml:space="preserve">) 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이 규준은 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2024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년 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11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월 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18</w:t>
      </w:r>
      <w:r w:rsidRPr="000617C7">
        <w:rPr>
          <w:rFonts w:ascii="맑은 고딕" w:eastAsia="맑은 고딕" w:hAnsi="맑은 고딕" w:hint="eastAsia"/>
          <w:spacing w:val="-12"/>
          <w:sz w:val="24"/>
          <w:szCs w:val="24"/>
        </w:rPr>
        <w:t>일부터 시행한다</w:t>
      </w:r>
      <w:r w:rsidRPr="000617C7">
        <w:rPr>
          <w:rFonts w:ascii="맑은 고딕" w:eastAsia="맑은 고딕" w:hAnsi="맑은 고딕"/>
          <w:spacing w:val="-12"/>
          <w:sz w:val="24"/>
          <w:szCs w:val="24"/>
        </w:rPr>
        <w:t>.</w:t>
      </w:r>
    </w:p>
    <w:p w14:paraId="012E4723" w14:textId="77777777" w:rsidR="000617C7" w:rsidRPr="00420094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676BC3DB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2C45A6F7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07232115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69B8E3D0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7508A3D0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67814910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65DCD73B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68B23D25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18E0AF8D" w14:textId="77777777" w:rsid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0118BD3C" w14:textId="77777777" w:rsid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4AC72889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258"/>
        <w:gridCol w:w="7597"/>
      </w:tblGrid>
      <w:tr w:rsidR="000617C7" w:rsidRPr="000617C7" w14:paraId="211A722C" w14:textId="77777777" w:rsidTr="000617C7">
        <w:trPr>
          <w:trHeight w:val="483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02AA58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HY헤드라인M" w:eastAsia="HY헤드라인M" w:hAnsi="맑은 고딕"/>
                <w:spacing w:val="-12"/>
                <w:sz w:val="30"/>
                <w:szCs w:val="30"/>
              </w:rPr>
            </w:pPr>
            <w:r w:rsidRPr="000617C7">
              <w:rPr>
                <w:rFonts w:ascii="HY헤드라인M" w:eastAsia="HY헤드라인M" w:hAnsi="맑은 고딕" w:hint="eastAsia"/>
                <w:spacing w:val="-12"/>
                <w:sz w:val="30"/>
                <w:szCs w:val="30"/>
              </w:rPr>
              <w:lastRenderedPageBreak/>
              <w:t>별첨#2</w:t>
            </w:r>
          </w:p>
        </w:tc>
        <w:tc>
          <w:tcPr>
            <w:tcW w:w="2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4DD4E0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HY헤드라인M" w:eastAsia="HY헤드라인M" w:hAnsi="맑은 고딕"/>
                <w:spacing w:val="-12"/>
                <w:sz w:val="30"/>
                <w:szCs w:val="30"/>
              </w:rPr>
            </w:pPr>
          </w:p>
        </w:tc>
        <w:tc>
          <w:tcPr>
            <w:tcW w:w="7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EC6638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HY헤드라인M" w:eastAsia="HY헤드라인M" w:hAnsi="맑은 고딕"/>
                <w:spacing w:val="-12"/>
                <w:sz w:val="30"/>
                <w:szCs w:val="30"/>
              </w:rPr>
            </w:pPr>
            <w:r w:rsidRPr="000617C7">
              <w:rPr>
                <w:rFonts w:ascii="HY헤드라인M" w:eastAsia="HY헤드라인M" w:hAnsi="맑은 고딕" w:hint="eastAsia"/>
                <w:spacing w:val="-12"/>
                <w:sz w:val="30"/>
                <w:szCs w:val="30"/>
              </w:rPr>
              <w:t>DAXA 및 금융감독원 담당자명 및 연락처</w:t>
            </w:r>
          </w:p>
        </w:tc>
      </w:tr>
    </w:tbl>
    <w:p w14:paraId="0E9AD755" w14:textId="77777777" w:rsidR="000617C7" w:rsidRPr="000617C7" w:rsidRDefault="000617C7" w:rsidP="000617C7">
      <w:pPr>
        <w:pStyle w:val="a3"/>
        <w:spacing w:line="240" w:lineRule="auto"/>
        <w:rPr>
          <w:rFonts w:ascii="맑은 고딕" w:eastAsia="맑은 고딕" w:hAnsi="맑은 고딕"/>
          <w:vanish/>
          <w:spacing w:val="-12"/>
          <w:sz w:val="24"/>
          <w:szCs w:val="24"/>
        </w:rPr>
      </w:pPr>
    </w:p>
    <w:tbl>
      <w:tblPr>
        <w:tblpPr w:leftFromText="142" w:rightFromText="142" w:vertAnchor="page" w:horzAnchor="margin" w:tblpY="2626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2051"/>
        <w:gridCol w:w="1255"/>
        <w:gridCol w:w="1487"/>
        <w:gridCol w:w="1176"/>
        <w:gridCol w:w="1908"/>
      </w:tblGrid>
      <w:tr w:rsidR="000617C7" w:rsidRPr="000617C7" w14:paraId="08435676" w14:textId="77777777" w:rsidTr="000617C7">
        <w:trPr>
          <w:trHeight w:val="423"/>
        </w:trPr>
        <w:tc>
          <w:tcPr>
            <w:tcW w:w="11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FC22C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담당부서</w:t>
            </w:r>
          </w:p>
        </w:tc>
        <w:tc>
          <w:tcPr>
            <w:tcW w:w="205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98D7BF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 xml:space="preserve">디지털자산거래소 </w:t>
            </w:r>
          </w:p>
          <w:p w14:paraId="5D9971FB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공동협의체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B6A1D8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책임자</w:t>
            </w:r>
          </w:p>
        </w:tc>
        <w:tc>
          <w:tcPr>
            <w:tcW w:w="1487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6BB862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부장</w:t>
            </w:r>
          </w:p>
        </w:tc>
        <w:tc>
          <w:tcPr>
            <w:tcW w:w="117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8D4412" w14:textId="03E71955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 xml:space="preserve">홍 </w:t>
            </w:r>
            <w:r w:rsidR="00420094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 xml:space="preserve"> </w:t>
            </w: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균</w:t>
            </w:r>
          </w:p>
        </w:tc>
        <w:tc>
          <w:tcPr>
            <w:tcW w:w="1908" w:type="dxa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79306C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02-6959-8084</w:t>
            </w:r>
          </w:p>
        </w:tc>
      </w:tr>
      <w:tr w:rsidR="000617C7" w:rsidRPr="000617C7" w14:paraId="6652675F" w14:textId="77777777" w:rsidTr="000617C7">
        <w:trPr>
          <w:trHeight w:val="423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A589B53" w14:textId="77777777" w:rsidR="000617C7" w:rsidRPr="000617C7" w:rsidRDefault="000617C7" w:rsidP="000617C7">
            <w:pPr>
              <w:pStyle w:val="a3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4B8A4E" w14:textId="77777777" w:rsidR="000617C7" w:rsidRPr="000617C7" w:rsidRDefault="000617C7" w:rsidP="000617C7">
            <w:pPr>
              <w:pStyle w:val="a3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05B34A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담당자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BC1FBD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과장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1A40E6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김예진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38639E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02-6959-8087</w:t>
            </w:r>
          </w:p>
        </w:tc>
      </w:tr>
      <w:tr w:rsidR="000617C7" w:rsidRPr="000617C7" w14:paraId="3CB2D4C8" w14:textId="77777777" w:rsidTr="000617C7">
        <w:trPr>
          <w:trHeight w:val="410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254A745" w14:textId="77777777" w:rsidR="000617C7" w:rsidRPr="000617C7" w:rsidRDefault="000617C7" w:rsidP="000617C7">
            <w:pPr>
              <w:pStyle w:val="a3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A1A9EF" w14:textId="77777777" w:rsidR="000617C7" w:rsidRPr="000617C7" w:rsidRDefault="000617C7" w:rsidP="000617C7">
            <w:pPr>
              <w:pStyle w:val="a3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00DB37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홍보팀장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E6AFF4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과장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F8EC2B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유민상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89273B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010-2305-8084</w:t>
            </w:r>
          </w:p>
        </w:tc>
      </w:tr>
      <w:tr w:rsidR="000617C7" w:rsidRPr="000617C7" w14:paraId="0E6E98AB" w14:textId="77777777" w:rsidTr="000617C7">
        <w:trPr>
          <w:trHeight w:val="410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399C809" w14:textId="77777777" w:rsidR="000617C7" w:rsidRPr="000617C7" w:rsidRDefault="000617C7" w:rsidP="000617C7">
            <w:pPr>
              <w:pStyle w:val="a3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9BD0C5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금융감독원</w:t>
            </w:r>
          </w:p>
          <w:p w14:paraId="4DA4E4B1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가상자산감독국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E62CF2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책임자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57272B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팀장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865BA4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서강훈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764CD7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02-3145-8314</w:t>
            </w:r>
          </w:p>
        </w:tc>
      </w:tr>
      <w:tr w:rsidR="000617C7" w:rsidRPr="000617C7" w14:paraId="265409D7" w14:textId="77777777" w:rsidTr="000617C7">
        <w:trPr>
          <w:trHeight w:val="410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3E39351" w14:textId="77777777" w:rsidR="000617C7" w:rsidRPr="000617C7" w:rsidRDefault="000617C7" w:rsidP="000617C7">
            <w:pPr>
              <w:pStyle w:val="a3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C9750F0" w14:textId="77777777" w:rsidR="000617C7" w:rsidRPr="000617C7" w:rsidRDefault="000617C7" w:rsidP="000617C7">
            <w:pPr>
              <w:pStyle w:val="a3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08B7BE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담당자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7DC278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선임조사역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9A7C9D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김혜선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AB792A" w14:textId="77777777" w:rsidR="000617C7" w:rsidRPr="000617C7" w:rsidRDefault="000617C7" w:rsidP="000617C7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0617C7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02-3145-8316</w:t>
            </w:r>
          </w:p>
        </w:tc>
      </w:tr>
    </w:tbl>
    <w:p w14:paraId="22E7815F" w14:textId="77777777" w:rsidR="0095022A" w:rsidRPr="000617C7" w:rsidRDefault="0095022A" w:rsidP="000617C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sectPr w:rsidR="0095022A" w:rsidRPr="000617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91600" w14:textId="77777777" w:rsidR="00284921" w:rsidRDefault="00284921" w:rsidP="00CA06D4">
      <w:pPr>
        <w:spacing w:after="0" w:line="240" w:lineRule="auto"/>
      </w:pPr>
      <w:r>
        <w:separator/>
      </w:r>
    </w:p>
  </w:endnote>
  <w:endnote w:type="continuationSeparator" w:id="0">
    <w:p w14:paraId="2962E783" w14:textId="77777777" w:rsidR="00284921" w:rsidRDefault="00284921" w:rsidP="00CA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504A" w14:textId="77777777" w:rsidR="00284921" w:rsidRDefault="00284921" w:rsidP="00CA06D4">
      <w:pPr>
        <w:spacing w:after="0" w:line="240" w:lineRule="auto"/>
      </w:pPr>
      <w:r>
        <w:separator/>
      </w:r>
    </w:p>
  </w:footnote>
  <w:footnote w:type="continuationSeparator" w:id="0">
    <w:p w14:paraId="0FDBD465" w14:textId="77777777" w:rsidR="00284921" w:rsidRDefault="00284921" w:rsidP="00CA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0B3C"/>
    <w:multiLevelType w:val="hybridMultilevel"/>
    <w:tmpl w:val="43B00F44"/>
    <w:lvl w:ilvl="0" w:tplc="14F0C38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AE2C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92D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4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6B0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3ABA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0F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AA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BAE6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14DFB"/>
    <w:multiLevelType w:val="multilevel"/>
    <w:tmpl w:val="C994E19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65DD2"/>
    <w:multiLevelType w:val="hybridMultilevel"/>
    <w:tmpl w:val="F4C82162"/>
    <w:lvl w:ilvl="0" w:tplc="ED38236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61B26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EB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40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6FF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0B7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0E20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E9D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1A33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D7F94"/>
    <w:multiLevelType w:val="multilevel"/>
    <w:tmpl w:val="3104BE70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27A2E"/>
    <w:multiLevelType w:val="hybridMultilevel"/>
    <w:tmpl w:val="0218BFBA"/>
    <w:lvl w:ilvl="0" w:tplc="E842D99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892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07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D66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21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ABE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9679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C5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8BE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455FE"/>
    <w:multiLevelType w:val="hybridMultilevel"/>
    <w:tmpl w:val="67EAE34A"/>
    <w:lvl w:ilvl="0" w:tplc="45181E9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1270D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C2D7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22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C3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5082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87F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409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7A5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307A5"/>
    <w:multiLevelType w:val="hybridMultilevel"/>
    <w:tmpl w:val="E690DCF8"/>
    <w:lvl w:ilvl="0" w:tplc="C26ADEA4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D9C1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0FE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24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E58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44C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C80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A11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C7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A07AF"/>
    <w:multiLevelType w:val="hybridMultilevel"/>
    <w:tmpl w:val="EB48C9FC"/>
    <w:lvl w:ilvl="0" w:tplc="8514B79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DC5A1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B429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0E2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CB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C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A5F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478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CC8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01235"/>
    <w:multiLevelType w:val="hybridMultilevel"/>
    <w:tmpl w:val="651A023A"/>
    <w:lvl w:ilvl="0" w:tplc="CFD2414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3984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30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2F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40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01D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9CB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40B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40F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FF6564"/>
    <w:multiLevelType w:val="hybridMultilevel"/>
    <w:tmpl w:val="F7AE522E"/>
    <w:lvl w:ilvl="0" w:tplc="25EEA06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26E4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EB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C1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25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24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80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49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80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8324A"/>
    <w:multiLevelType w:val="multilevel"/>
    <w:tmpl w:val="EA04565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1B674C"/>
    <w:multiLevelType w:val="hybridMultilevel"/>
    <w:tmpl w:val="2C0C4A22"/>
    <w:lvl w:ilvl="0" w:tplc="846801C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98F0B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25B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41A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84F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2A9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0F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E0C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45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D0645B"/>
    <w:multiLevelType w:val="hybridMultilevel"/>
    <w:tmpl w:val="8870B9B4"/>
    <w:lvl w:ilvl="0" w:tplc="A238E66E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CCE8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8E0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64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2E7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8F2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520D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A77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AC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FF6658"/>
    <w:multiLevelType w:val="multilevel"/>
    <w:tmpl w:val="20CCBBE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6F11A4"/>
    <w:multiLevelType w:val="hybridMultilevel"/>
    <w:tmpl w:val="D39210BC"/>
    <w:lvl w:ilvl="0" w:tplc="4F000F3A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6E38C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F6B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AF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13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209E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C27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83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DA3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3A649D"/>
    <w:multiLevelType w:val="hybridMultilevel"/>
    <w:tmpl w:val="3B1649E6"/>
    <w:lvl w:ilvl="0" w:tplc="4C76E24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72C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829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4B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62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C80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DC3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61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A8D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8416C2"/>
    <w:multiLevelType w:val="hybridMultilevel"/>
    <w:tmpl w:val="9F9EDF3A"/>
    <w:lvl w:ilvl="0" w:tplc="73A885A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CCCD4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C46B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80B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608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40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08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89A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2CC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6017EC"/>
    <w:multiLevelType w:val="hybridMultilevel"/>
    <w:tmpl w:val="BF18A5DE"/>
    <w:lvl w:ilvl="0" w:tplc="D78E1F3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0743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48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65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A09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09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60E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616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2A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FC"/>
    <w:multiLevelType w:val="hybridMultilevel"/>
    <w:tmpl w:val="142654EC"/>
    <w:lvl w:ilvl="0" w:tplc="41921016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9752D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C0BD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83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09C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CBA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68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AE6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5A65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7A6ACF"/>
    <w:multiLevelType w:val="hybridMultilevel"/>
    <w:tmpl w:val="A96AC7DE"/>
    <w:lvl w:ilvl="0" w:tplc="09C08D6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67CEE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7CC1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8A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24F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0E4D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B69D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E04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09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E572F5"/>
    <w:multiLevelType w:val="hybridMultilevel"/>
    <w:tmpl w:val="E8442326"/>
    <w:lvl w:ilvl="0" w:tplc="EA382DF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0C28D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4064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369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9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E24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634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01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D6AE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8D17CF"/>
    <w:multiLevelType w:val="hybridMultilevel"/>
    <w:tmpl w:val="1304D3E2"/>
    <w:lvl w:ilvl="0" w:tplc="16E47EA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351A7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68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C0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0A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5C1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64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6D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80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927FE1"/>
    <w:multiLevelType w:val="hybridMultilevel"/>
    <w:tmpl w:val="798C5762"/>
    <w:lvl w:ilvl="0" w:tplc="DDDE068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174D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569F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3CC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8ED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AC3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F222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8C6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2C47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A97040"/>
    <w:multiLevelType w:val="multilevel"/>
    <w:tmpl w:val="18FE1AC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D63462"/>
    <w:multiLevelType w:val="hybridMultilevel"/>
    <w:tmpl w:val="A6D6DB7A"/>
    <w:lvl w:ilvl="0" w:tplc="7540999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0A9C7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4B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9291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C52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ABC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460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E8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8B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323881"/>
    <w:multiLevelType w:val="hybridMultilevel"/>
    <w:tmpl w:val="BAF60FFC"/>
    <w:lvl w:ilvl="0" w:tplc="75F84F2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F9F4B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7200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A88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4D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6A7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2A95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43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6E3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7A7C4F"/>
    <w:multiLevelType w:val="multilevel"/>
    <w:tmpl w:val="49D0FED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5922BC"/>
    <w:multiLevelType w:val="hybridMultilevel"/>
    <w:tmpl w:val="97D2E780"/>
    <w:lvl w:ilvl="0" w:tplc="D9BEFA5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0F629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BC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E81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4AA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CA4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D05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E2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2AB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E62E04"/>
    <w:multiLevelType w:val="hybridMultilevel"/>
    <w:tmpl w:val="067AF4E2"/>
    <w:lvl w:ilvl="0" w:tplc="3CF4B10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ECE3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22D2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8A2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6ED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4DC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625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037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050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C41448"/>
    <w:multiLevelType w:val="hybridMultilevel"/>
    <w:tmpl w:val="9DF68B1C"/>
    <w:lvl w:ilvl="0" w:tplc="5A48F3D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3C422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28A1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CC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CB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2A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AD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C5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3606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4C6DEA"/>
    <w:multiLevelType w:val="hybridMultilevel"/>
    <w:tmpl w:val="FC24BE24"/>
    <w:lvl w:ilvl="0" w:tplc="F2EAAD2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DB28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216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EF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EC1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2E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2FE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278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8B28AD"/>
    <w:multiLevelType w:val="hybridMultilevel"/>
    <w:tmpl w:val="7ECE2CE0"/>
    <w:lvl w:ilvl="0" w:tplc="EEDCFC1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55EE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CD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ECB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27D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C85D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62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EA8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CB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266702"/>
    <w:multiLevelType w:val="hybridMultilevel"/>
    <w:tmpl w:val="150A79D8"/>
    <w:lvl w:ilvl="0" w:tplc="CC4C0B2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6A769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036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AA15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02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EA5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6B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E7F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587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03239B"/>
    <w:multiLevelType w:val="hybridMultilevel"/>
    <w:tmpl w:val="4246E492"/>
    <w:lvl w:ilvl="0" w:tplc="627A4B8A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40C07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8E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E8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8A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F6E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243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AA2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F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310EC8"/>
    <w:multiLevelType w:val="hybridMultilevel"/>
    <w:tmpl w:val="720A7186"/>
    <w:lvl w:ilvl="0" w:tplc="91085984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830A9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654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2AA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02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CA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A9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EB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C8D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F73658"/>
    <w:multiLevelType w:val="hybridMultilevel"/>
    <w:tmpl w:val="F7786596"/>
    <w:lvl w:ilvl="0" w:tplc="89DAD89E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A29CB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166F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149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039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C6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941D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096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49F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392396"/>
    <w:multiLevelType w:val="hybridMultilevel"/>
    <w:tmpl w:val="F76C923E"/>
    <w:lvl w:ilvl="0" w:tplc="C69CF7F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7A7EC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DCC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CA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0FA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B450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2874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20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87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005683"/>
    <w:multiLevelType w:val="hybridMultilevel"/>
    <w:tmpl w:val="2B1A0502"/>
    <w:lvl w:ilvl="0" w:tplc="74E4F0EA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23CB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D886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F02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83C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C024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64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1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F0FF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4928E1"/>
    <w:multiLevelType w:val="multilevel"/>
    <w:tmpl w:val="D2A0BBA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9B69A8"/>
    <w:multiLevelType w:val="hybridMultilevel"/>
    <w:tmpl w:val="2F1C9F16"/>
    <w:lvl w:ilvl="0" w:tplc="966A058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B3DCB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031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20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048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0AE0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42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4E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403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AB347BF"/>
    <w:multiLevelType w:val="multilevel"/>
    <w:tmpl w:val="546627B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E00C3C"/>
    <w:multiLevelType w:val="hybridMultilevel"/>
    <w:tmpl w:val="F246F77E"/>
    <w:lvl w:ilvl="0" w:tplc="4B6A6FD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D62E2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2A5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0C5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EA41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7C24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EE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84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53033B"/>
    <w:multiLevelType w:val="hybridMultilevel"/>
    <w:tmpl w:val="486A691C"/>
    <w:lvl w:ilvl="0" w:tplc="C0807A2E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9BEF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E0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30E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65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AB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C3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A6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1C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345981"/>
    <w:multiLevelType w:val="multilevel"/>
    <w:tmpl w:val="E1D412B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34ACB"/>
    <w:multiLevelType w:val="hybridMultilevel"/>
    <w:tmpl w:val="002E5536"/>
    <w:lvl w:ilvl="0" w:tplc="76C250F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82A9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684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929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ABB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508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4E3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859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8E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613C48"/>
    <w:multiLevelType w:val="multilevel"/>
    <w:tmpl w:val="A896FA8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333C95"/>
    <w:multiLevelType w:val="hybridMultilevel"/>
    <w:tmpl w:val="CCC641A0"/>
    <w:lvl w:ilvl="0" w:tplc="0F0EE45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3BAA7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64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AA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6C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2DD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68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84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74C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EAC192A"/>
    <w:multiLevelType w:val="hybridMultilevel"/>
    <w:tmpl w:val="22D6CBB6"/>
    <w:lvl w:ilvl="0" w:tplc="8ACE9DA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98E9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A1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64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00D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CD1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647C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6A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8FA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E71B93"/>
    <w:multiLevelType w:val="hybridMultilevel"/>
    <w:tmpl w:val="2C7E34EE"/>
    <w:lvl w:ilvl="0" w:tplc="D562C71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2C868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A488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E4EA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C88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8E4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BA3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06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085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5EA607B"/>
    <w:multiLevelType w:val="hybridMultilevel"/>
    <w:tmpl w:val="57CC8A3C"/>
    <w:lvl w:ilvl="0" w:tplc="954891A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990C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6C4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E3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0A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8F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26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E8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B2F0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474B69"/>
    <w:multiLevelType w:val="hybridMultilevel"/>
    <w:tmpl w:val="7BF62078"/>
    <w:lvl w:ilvl="0" w:tplc="1D54AAD4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FD30D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CB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402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2F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36D1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D42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A3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065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7D2291"/>
    <w:multiLevelType w:val="hybridMultilevel"/>
    <w:tmpl w:val="8D0A50D0"/>
    <w:lvl w:ilvl="0" w:tplc="A930339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2780F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A7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2F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2B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DE80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4C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EC2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760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D103175"/>
    <w:multiLevelType w:val="multilevel"/>
    <w:tmpl w:val="1F02F04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D4C2C60"/>
    <w:multiLevelType w:val="hybridMultilevel"/>
    <w:tmpl w:val="5A34F26E"/>
    <w:lvl w:ilvl="0" w:tplc="2F70524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B60EC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F8A9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83C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E0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E3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E01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89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683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515455"/>
    <w:multiLevelType w:val="multilevel"/>
    <w:tmpl w:val="2A961370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F647DA4"/>
    <w:multiLevelType w:val="multilevel"/>
    <w:tmpl w:val="7CFA284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77966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674954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55478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189620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573636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834168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055686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727469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40319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112164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549657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424609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948648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993097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452223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276785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08259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20631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456466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24760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492305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777958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876172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79509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66362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77620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143373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379366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700434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278205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824238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723367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90773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524907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930579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83750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5522620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93059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97399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2989037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57011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998375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083542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6263520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79848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6361820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4378184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1389427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232595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7487930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647426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33354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501577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3259020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039408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5835048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75"/>
    <w:rsid w:val="00012E06"/>
    <w:rsid w:val="00042448"/>
    <w:rsid w:val="00046086"/>
    <w:rsid w:val="000617C7"/>
    <w:rsid w:val="00153AB3"/>
    <w:rsid w:val="00196C8F"/>
    <w:rsid w:val="001A4280"/>
    <w:rsid w:val="001F502B"/>
    <w:rsid w:val="002218F9"/>
    <w:rsid w:val="00284921"/>
    <w:rsid w:val="002E6CCC"/>
    <w:rsid w:val="002F33CC"/>
    <w:rsid w:val="00354CEB"/>
    <w:rsid w:val="00364637"/>
    <w:rsid w:val="00390976"/>
    <w:rsid w:val="003C23E4"/>
    <w:rsid w:val="003E1A77"/>
    <w:rsid w:val="00420094"/>
    <w:rsid w:val="00446A75"/>
    <w:rsid w:val="004815BE"/>
    <w:rsid w:val="0049025C"/>
    <w:rsid w:val="004C6C08"/>
    <w:rsid w:val="00511D03"/>
    <w:rsid w:val="00566BE4"/>
    <w:rsid w:val="00615CAA"/>
    <w:rsid w:val="00660FE0"/>
    <w:rsid w:val="0067412A"/>
    <w:rsid w:val="006A28CF"/>
    <w:rsid w:val="006B3B42"/>
    <w:rsid w:val="006B63CB"/>
    <w:rsid w:val="00705CE1"/>
    <w:rsid w:val="00805375"/>
    <w:rsid w:val="008168E4"/>
    <w:rsid w:val="008268B7"/>
    <w:rsid w:val="008640B3"/>
    <w:rsid w:val="008A1A80"/>
    <w:rsid w:val="008C574E"/>
    <w:rsid w:val="008F010B"/>
    <w:rsid w:val="0095022A"/>
    <w:rsid w:val="00973A97"/>
    <w:rsid w:val="009877A3"/>
    <w:rsid w:val="009977B0"/>
    <w:rsid w:val="009A1505"/>
    <w:rsid w:val="009D1BF1"/>
    <w:rsid w:val="009D6751"/>
    <w:rsid w:val="009F3EF6"/>
    <w:rsid w:val="00A84903"/>
    <w:rsid w:val="00AB729F"/>
    <w:rsid w:val="00AC329F"/>
    <w:rsid w:val="00AE75AB"/>
    <w:rsid w:val="00B236CC"/>
    <w:rsid w:val="00B701E9"/>
    <w:rsid w:val="00B807CE"/>
    <w:rsid w:val="00BF5072"/>
    <w:rsid w:val="00CA06D4"/>
    <w:rsid w:val="00CC1388"/>
    <w:rsid w:val="00CD2CDB"/>
    <w:rsid w:val="00CE4F77"/>
    <w:rsid w:val="00D4597F"/>
    <w:rsid w:val="00D6096B"/>
    <w:rsid w:val="00D90397"/>
    <w:rsid w:val="00DE1C6C"/>
    <w:rsid w:val="00E55FBC"/>
    <w:rsid w:val="00E70FCE"/>
    <w:rsid w:val="00ED0056"/>
    <w:rsid w:val="00ED5A34"/>
    <w:rsid w:val="00EF5A05"/>
    <w:rsid w:val="00F3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A7136"/>
  <w15:chartTrackingRefBased/>
  <w15:docId w15:val="{DDFB6308-B8B9-4FC8-BBE3-69BCBCEF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0537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80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70F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3A97"/>
    <w:pPr>
      <w:ind w:leftChars="400" w:left="800"/>
    </w:pPr>
  </w:style>
  <w:style w:type="paragraph" w:customStyle="1" w:styleId="a7">
    <w:name w:val="표 중앙"/>
    <w:basedOn w:val="a"/>
    <w:rsid w:val="00D90397"/>
    <w:pPr>
      <w:spacing w:after="0" w:line="432" w:lineRule="auto"/>
      <w:ind w:left="140"/>
      <w:jc w:val="left"/>
      <w:textAlignment w:val="baseline"/>
    </w:pPr>
    <w:rPr>
      <w:rFonts w:ascii="함초롬바탕" w:eastAsia="굴림" w:hAnsi="굴림" w:cs="굴림"/>
      <w:color w:val="000000"/>
      <w:kern w:val="0"/>
      <w:sz w:val="22"/>
    </w:rPr>
  </w:style>
  <w:style w:type="paragraph" w:styleId="a8">
    <w:name w:val="header"/>
    <w:basedOn w:val="a"/>
    <w:link w:val="Char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CA06D4"/>
  </w:style>
  <w:style w:type="paragraph" w:styleId="a9">
    <w:name w:val="footer"/>
    <w:basedOn w:val="a"/>
    <w:link w:val="Char0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CA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6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디지털자산거래소 공동협의체</dc:creator>
  <cp:keywords/>
  <dc:description/>
  <cp:lastModifiedBy>공동협의체 디지털자산거래소</cp:lastModifiedBy>
  <cp:revision>45</cp:revision>
  <dcterms:created xsi:type="dcterms:W3CDTF">2023-01-11T04:20:00Z</dcterms:created>
  <dcterms:modified xsi:type="dcterms:W3CDTF">2024-11-06T08:53:00Z</dcterms:modified>
</cp:coreProperties>
</file>